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SHIMOYAMA: O NOVO LAR DA LEXUS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oyota Type Book" w:cs="Toyota Type Book" w:eastAsia="Toyota Type Book" w:hAnsi="Toyota Type Book"/>
          <w:sz w:val="20"/>
          <w:szCs w:val="20"/>
        </w:rPr>
      </w:pPr>
      <w:r w:rsidDel="00000000" w:rsidR="00000000" w:rsidRPr="00000000">
        <w:rPr>
          <w:rFonts w:ascii="Toyota Type Book" w:cs="Toyota Type Book" w:eastAsia="Toyota Type Book" w:hAnsi="Toyota Type Book"/>
          <w:sz w:val="20"/>
          <w:szCs w:val="20"/>
        </w:rPr>
        <w:drawing>
          <wp:inline distB="0" distT="0" distL="0" distR="0">
            <wp:extent cx="5394960" cy="3596640"/>
            <wp:effectExtent b="0" l="0" r="0" t="0"/>
            <wp:docPr id="170067216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59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oyota Type Book" w:cs="Toyota Type Book" w:eastAsia="Toyota Type Book" w:hAnsi="Toyota Type Book"/>
          <w:i w:val="1"/>
          <w:sz w:val="16"/>
          <w:szCs w:val="16"/>
        </w:rPr>
      </w:pPr>
      <w:r w:rsidDel="00000000" w:rsidR="00000000" w:rsidRPr="00000000">
        <w:rPr>
          <w:rFonts w:ascii="Toyota Type Book" w:cs="Toyota Type Book" w:eastAsia="Toyota Type Book" w:hAnsi="Toyota Type Book"/>
          <w:i w:val="1"/>
          <w:sz w:val="16"/>
          <w:szCs w:val="16"/>
          <w:rtl w:val="0"/>
        </w:rPr>
        <w:t xml:space="preserve">Exterior do Centro Técnico Shimoyama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oyota Type Book" w:cs="Toyota Type Book" w:eastAsia="Toyota Type Book" w:hAnsi="Toyota Type Book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Shimoyama é a nova sede internacional de desenvolvimento de veículos Lexus no Japão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 complexo moderno e integrado, reunindo pela primeira vez todas as funções da marca em um único local, incluindo Design e Pesquisa e Desenvolvimento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inauguração marca o 35º aniversário da Lexus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Shimoyama também será a nova base para o desenvolvimento de veículos da TOYOTA GAZOO Racing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local inclui uma pista de alta velocidade e rotas que simulam diferentes tipos de estradas globais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projeto foi desenvolvido em harmonia com o meio ambiente local.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Lexus concluiu a mudança para sua nova sede em Shimoyama, u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 complexo moderno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construído especificamente para esse fim, localizado em uma encosta perto da cidade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Toyota,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Japão.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história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Lexus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coincide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35º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aniversário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internacional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luxo.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Pela primeira vez, todas as operações da Lexus – vendas, marketing, planejamento – foram reunidas em um só lugar, incluindo pesquisa e desenvolvimento e design. Isso promete promover uma cooperação ainda mais forte e rápida entre as equipes, permitindo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entrega ágil de protótipos de desenvolvimento e modelos de produção, incluindo as próximas gerações de veículos Lexus.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trabalho de desenvolvimento será apoiado pelo campo de provas adjacente de Shimoyama, em funcionamento desde 2021, que inclui um circuito de alta velocidade e uma rede de rotas que reproduzem diferentes tipos de estradas e superfícies ao redor do mundo. Esse recurso já se mostrou essencial para alcançar a assinatura de condução Lexus: conforto, confiança e controle para o motorista em todos os momentos, em modelos como o novo LBX, a última geração do NX e o RZ totalmente elétrico.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Lexus compartilha com a TOYOTA GAZOO Racing o novo Edifício de Desenvolvimento de Veículos, construído na parte oeste do local de Shimoyama. O piso térreo abriga uma série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boxes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projetadas para imitar a aparência das garagens do lendário circuito de Nürburgring, na Alemanha, um local que tem sido usado para o desenvolvimento e ajuste fino dos modelos GR e Lexus. É um lugar onde membros de todas as funções de negócios podem trabalhar juntos, avaliando veículos nas pistas de teste e colaborando em testes e desenvolvimento para produzir carros cada vez melhores.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Durante a cerimônia oficial de abertura em 2024, Akio Toyoda, presidente da Toyota Motor Corporation, comentou: "Cerca de 3.000 pessoas, incluindo membros de desenvolvimento e pilotos de teste da Lexus e da GAZOO Racing, irão dirigir, forçar e melhorar os veículos aqui. Embora Shimoyama não seja uma fábrica de produção, os carros fabricados aqui serão conduzidos em todas as estradas do mundo e trarão sorrisos para muitas pessoas."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área ocidental do complexo abriga um prédio de visitantes, um espaço destinado à colaboração criativa com parceiros de negócios e fornecedores. Também oferece um espaço aberto para inovação, promovendo novas ideias, dando às pessoas a oportunidade de interagir de perto com os carros.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conservação e gestão do ambiente natural foi uma consideração primordial durante o processo de desenvolvimento. Isso incluiu a preservação de árvores e áreas verdes que cobrem aproximadamente 60% (650 hectares) do local, bem como a criação de novas áreas verdes. Também foi construído um centro de aprendizagem ambiental para ser usado como espaço de interação com as comunidades locais.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Fatos e Números de Shimoyama</w:t>
      </w:r>
    </w:p>
    <w:tbl>
      <w:tblPr>
        <w:tblStyle w:val="Table1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2550"/>
        <w:gridCol w:w="2115"/>
        <w:gridCol w:w="2115"/>
        <w:tblGridChange w:id="0">
          <w:tblGrid>
            <w:gridCol w:w="1710"/>
            <w:gridCol w:w="2550"/>
            <w:gridCol w:w="2115"/>
            <w:gridCol w:w="21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Localização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Toyota City (antiga vila de Shimoyama) 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parte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de Okazaki City 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antigo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povo de Nukata).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Distribuição de área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Porcentaje del área total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Instalações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159,2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Estradas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7,1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Reservatórios,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16,2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Novas áreas verdes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81,8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Florestas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386,5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650,8 ha/6,508 km²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Entidade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empresarial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-Desenvolvimento do local: Aichi Public Enterprise Bureau.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-Construção das instalações: Toyota Motor Corporation.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Instalações principais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central: estradas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rurais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oriental: vias de alta velocidade e avaliação de características.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Área ocidental: Edifício de Desenvolvimento de Veículos e Edifício para Visitantes.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Investimento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after="160" w:line="278.0000000000000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Aproximadamente 300 bilhões de ienes (1,8 bilhões de euros).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empregados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after="240" w:before="240" w:line="278.0000000000000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Aproximadamente 3.000 (a partir da plena operação, março de 2024).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oyota Type Book" w:cs="Toyota Type Book" w:eastAsia="Toyota Type Book" w:hAnsi="Toyota Type Book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  <w:font w:name="Toyota Type Boo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1795"/>
              <wp:effectExtent b="0" l="0" r="0" t="0"/>
              <wp:wrapNone/>
              <wp:docPr descr="•• PROTECTED 関係者外秘" id="170067216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32895" y="3588865"/>
                        <a:ext cx="142621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1795"/>
              <wp:effectExtent b="0" l="0" r="0" t="0"/>
              <wp:wrapNone/>
              <wp:docPr descr="•• PROTECTED 関係者外秘" id="1700672161" name="image5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735" cy="391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1795"/>
              <wp:effectExtent b="0" l="0" r="0" t="0"/>
              <wp:wrapNone/>
              <wp:docPr descr="•• PROTECTED 関係者外秘" id="1700672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2895" y="3588865"/>
                        <a:ext cx="142621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1795"/>
              <wp:effectExtent b="0" l="0" r="0" t="0"/>
              <wp:wrapNone/>
              <wp:docPr descr="•• PROTECTED 関係者外秘" id="1700672159" name="image3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735" cy="391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4467225</wp:posOffset>
          </wp:positionH>
          <wp:positionV relativeFrom="paragraph">
            <wp:posOffset>-45719</wp:posOffset>
          </wp:positionV>
          <wp:extent cx="870956" cy="559096"/>
          <wp:effectExtent b="0" l="0" r="0" t="0"/>
          <wp:wrapNone/>
          <wp:docPr descr="Logotipo, nombre de la empresa&#10;&#10;Descripción generada automáticamente" id="1700672162" name="image2.jp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0956" cy="5590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1795"/>
              <wp:effectExtent b="0" l="0" r="0" t="0"/>
              <wp:wrapNone/>
              <wp:docPr descr="•• PROTECTED 関係者外秘" id="170067216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32895" y="3588865"/>
                        <a:ext cx="142621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1795"/>
              <wp:effectExtent b="0" l="0" r="0" t="0"/>
              <wp:wrapNone/>
              <wp:docPr descr="•• PROTECTED 関係者外秘" id="1700672160" name="image4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735" cy="391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A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253E1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53E1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53E1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53E1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253E1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253E1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53E1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53E1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53E1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253E1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53E1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53E1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53E1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253E1F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253E1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53E1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53E1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53E1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253E1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53E1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253E1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53E1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253E1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253E1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253E1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253E1F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253E1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53E1F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253E1F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253E1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53E1F"/>
  </w:style>
  <w:style w:type="paragraph" w:styleId="Piedepgina">
    <w:name w:val="footer"/>
    <w:basedOn w:val="Normal"/>
    <w:link w:val="PiedepginaCar"/>
    <w:uiPriority w:val="99"/>
    <w:unhideWhenUsed w:val="1"/>
    <w:rsid w:val="00253E1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53E1F"/>
  </w:style>
  <w:style w:type="character" w:styleId="Hipervnculo">
    <w:name w:val="Hyperlink"/>
    <w:basedOn w:val="Fuentedeprrafopredeter"/>
    <w:uiPriority w:val="99"/>
    <w:unhideWhenUsed w:val="1"/>
    <w:rsid w:val="00253E1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253E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D6F1F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B37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BB375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B37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B375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B375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0q+JRx5zAhDrnWRSUHJ8EZ6mQ==">CgMxLjA4AHIhMU9GZGRlVzU2d3dMZHM3UkhQOTlHWkJXLVU3S3VXVkdy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2025-01-21T14:10:00Z</dcterms:created>
  <dc:creator>Aldana Fernández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18ba4717,2b64f580,18768771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a2bc41b1-af02-4147-98ae-4a13dc4a339e_Enabled">
    <vt:lpwstr>true</vt:lpwstr>
  </property>
  <property fmtid="{D5CDD505-2E9C-101B-9397-08002B2CF9AE}" pid="6" name="MSIP_Label_a2bc41b1-af02-4147-98ae-4a13dc4a339e_SetDate">
    <vt:lpwstr>2024-11-12T13:59:31Z</vt:lpwstr>
  </property>
  <property fmtid="{D5CDD505-2E9C-101B-9397-08002B2CF9AE}" pid="7" name="MSIP_Label_a2bc41b1-af02-4147-98ae-4a13dc4a339e_Method">
    <vt:lpwstr>Standard</vt:lpwstr>
  </property>
  <property fmtid="{D5CDD505-2E9C-101B-9397-08002B2CF9AE}" pid="8" name="MSIP_Label_a2bc41b1-af02-4147-98ae-4a13dc4a339e_Name">
    <vt:lpwstr>Protected 関係者外秘</vt:lpwstr>
  </property>
  <property fmtid="{D5CDD505-2E9C-101B-9397-08002B2CF9AE}" pid="9" name="MSIP_Label_a2bc41b1-af02-4147-98ae-4a13dc4a339e_SiteId">
    <vt:lpwstr>22d9890d-3e8a-415b-8c99-cdf3e96b87bf</vt:lpwstr>
  </property>
  <property fmtid="{D5CDD505-2E9C-101B-9397-08002B2CF9AE}" pid="10" name="MSIP_Label_a2bc41b1-af02-4147-98ae-4a13dc4a339e_ActionId">
    <vt:lpwstr>95d16a73-8e23-4a1a-a030-a34d060a7c80</vt:lpwstr>
  </property>
  <property fmtid="{D5CDD505-2E9C-101B-9397-08002B2CF9AE}" pid="11" name="MSIP_Label_a2bc41b1-af02-4147-98ae-4a13dc4a339e_ContentBits">
    <vt:lpwstr>1</vt:lpwstr>
  </property>
  <property fmtid="{D5CDD505-2E9C-101B-9397-08002B2CF9AE}" pid="12" name="ContentTypeId">
    <vt:lpwstr>0x010100B7F2868988731C4091ACD9285CD37DAE</vt:lpwstr>
  </property>
  <property fmtid="{D5CDD505-2E9C-101B-9397-08002B2CF9AE}" pid="13" name="MediaServiceImageTags">
    <vt:lpwstr/>
  </property>
</Properties>
</file>